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70D4" w:rsidP="00CE70D4" w:rsidRDefault="00CE70D4" w14:paraId="249488B6" w14:textId="61B94F21">
      <w:pPr>
        <w:autoSpaceDE w:val="0"/>
        <w:adjustRightInd w:val="0"/>
        <w:spacing w:line="240" w:lineRule="auto"/>
        <w:rPr>
          <w:rFonts w:eastAsia="DejaVuSerifCondensed" w:cs="DejaVuSerifCondensed"/>
        </w:rPr>
      </w:pPr>
      <w:r>
        <w:rPr>
          <w:rFonts w:eastAsia="DejaVuSerifCondensed" w:cs="DejaVuSerifCondensed"/>
        </w:rPr>
        <w:t>AH 845</w:t>
      </w:r>
    </w:p>
    <w:p w:rsidR="00CE70D4" w:rsidP="00CE70D4" w:rsidRDefault="00CE70D4" w14:paraId="0FD979B7" w14:textId="3BA5DDBC">
      <w:pPr>
        <w:autoSpaceDE w:val="0"/>
        <w:adjustRightInd w:val="0"/>
        <w:spacing w:line="240" w:lineRule="auto"/>
        <w:rPr>
          <w:rFonts w:eastAsia="DejaVuSerifCondensed" w:cs="DejaVuSerifCondensed"/>
        </w:rPr>
      </w:pPr>
      <w:r>
        <w:rPr>
          <w:rFonts w:eastAsia="DejaVuSerifCondensed" w:cs="DejaVuSerifCondensed"/>
        </w:rPr>
        <w:t>2024Z17069</w:t>
      </w:r>
    </w:p>
    <w:p w:rsidRPr="00CE70D4" w:rsidR="00CE70D4" w:rsidP="00CE70D4" w:rsidRDefault="00CE70D4" w14:paraId="3AB6F51B" w14:textId="4F720CED">
      <w:pPr>
        <w:rPr>
          <w:rFonts w:ascii="Arial" w:hAnsi="Arial" w:cs="Arial"/>
          <w:color w:val="000000"/>
          <w:sz w:val="24"/>
          <w:szCs w:val="24"/>
        </w:rPr>
      </w:pPr>
      <w:r w:rsidRPr="00CE70D4">
        <w:rPr>
          <w:rFonts w:eastAsia="DejaVuSerifCondensed" w:cs="DejaVuSerifCondensed"/>
          <w:sz w:val="24"/>
          <w:szCs w:val="24"/>
        </w:rPr>
        <w:t>Antwoord van staatssecretaris Nobel (Sociale Zaken en Werkgelegenheid)</w:t>
      </w:r>
      <w:r>
        <w:rPr>
          <w:rFonts w:eastAsia="DejaVuSerifCondensed" w:cs="DejaVuSerifCondensed"/>
          <w:sz w:val="24"/>
          <w:szCs w:val="24"/>
        </w:rPr>
        <w:t xml:space="preserve">, mede namens de </w:t>
      </w:r>
      <w:r w:rsidRPr="007D78AD">
        <w:rPr>
          <w:rFonts w:ascii="Times New Roman" w:hAnsi="Times New Roman"/>
          <w:sz w:val="24"/>
        </w:rPr>
        <w:t>staatssecretaris van Justitie en Veiligheid</w:t>
      </w:r>
      <w:r w:rsidRPr="00CE70D4">
        <w:rPr>
          <w:rFonts w:eastAsia="DejaVuSerifCondensed" w:cs="DejaVuSerifCondensed"/>
          <w:sz w:val="24"/>
          <w:szCs w:val="24"/>
        </w:rPr>
        <w:t xml:space="preserve"> (ontvangen</w:t>
      </w:r>
      <w:r>
        <w:rPr>
          <w:rFonts w:eastAsia="DejaVuSerifCondensed" w:cs="DejaVuSerifCondensed"/>
          <w:sz w:val="24"/>
          <w:szCs w:val="24"/>
        </w:rPr>
        <w:t xml:space="preserve"> 16 december 2024)</w:t>
      </w:r>
    </w:p>
    <w:p w:rsidR="00CE70D4" w:rsidP="00CE70D4" w:rsidRDefault="00CE70D4" w14:paraId="017C3729" w14:textId="48FFF3C2">
      <w:pPr>
        <w:autoSpaceDE w:val="0"/>
        <w:adjustRightInd w:val="0"/>
        <w:spacing w:line="240" w:lineRule="auto"/>
        <w:rPr>
          <w:rFonts w:eastAsia="DejaVuSerifCondensed" w:cs="DejaVuSerifCondensed"/>
          <w:sz w:val="24"/>
          <w:szCs w:val="24"/>
        </w:rPr>
      </w:pPr>
      <w:r w:rsidRPr="00CE70D4">
        <w:rPr>
          <w:rFonts w:eastAsia="DejaVuSerifCondensed" w:cs="DejaVuSerifCondensed"/>
          <w:sz w:val="24"/>
          <w:szCs w:val="24"/>
        </w:rPr>
        <w:t>Zie ook Aanhangsel Handelingen, vergaderjaar 2024-2025, nr.</w:t>
      </w:r>
      <w:r>
        <w:rPr>
          <w:rFonts w:eastAsia="DejaVuSerifCondensed" w:cs="DejaVuSerifCondensed"/>
          <w:sz w:val="24"/>
          <w:szCs w:val="24"/>
        </w:rPr>
        <w:t xml:space="preserve"> 460</w:t>
      </w:r>
    </w:p>
    <w:p w:rsidRPr="00277AFE" w:rsidR="00CE70D4" w:rsidP="00CE70D4" w:rsidRDefault="00CE70D4" w14:paraId="4440188D" w14:textId="77777777">
      <w:pPr>
        <w:autoSpaceDE w:val="0"/>
        <w:adjustRightInd w:val="0"/>
        <w:spacing w:line="240" w:lineRule="auto"/>
        <w:rPr>
          <w:rFonts w:eastAsia="DejaVuSerifCondensed" w:cs="DejaVuSerifCondensed"/>
        </w:rPr>
      </w:pPr>
    </w:p>
    <w:p w:rsidRPr="00277AFE" w:rsidR="00CE70D4" w:rsidP="00CE70D4" w:rsidRDefault="00CE70D4" w14:paraId="714D76B8"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Vraag 1</w:t>
      </w:r>
    </w:p>
    <w:p w:rsidRPr="00277AFE" w:rsidR="00CE70D4" w:rsidP="00CE70D4" w:rsidRDefault="00CE70D4" w14:paraId="43D0716C"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 xml:space="preserve">Hoe duidt u de knelpunten die uit het onderzoek ‘Van Bajes naar buiten’ naar voren komen, namelijk de beperkte mogelijkheden van de casemanager en het re-integratiecentrum (RIC) om een schuldenoverzicht en een betalingsregeling te regelen of in het geval van complexere zaken schuldhulpverlening of -sanering, in het licht van de constatering dat de schuldenaanpak één van de vijf basisvoorwaarden voor een succesvolle re-integratie van (ex-)gedetineerde personen is? </w:t>
      </w:r>
    </w:p>
    <w:p w:rsidRPr="00277AFE" w:rsidR="00CE70D4" w:rsidP="00CE70D4" w:rsidRDefault="00CE70D4" w14:paraId="2E9C0A63" w14:textId="77777777">
      <w:pPr>
        <w:autoSpaceDE w:val="0"/>
        <w:adjustRightInd w:val="0"/>
        <w:spacing w:line="240" w:lineRule="auto"/>
        <w:rPr>
          <w:rFonts w:eastAsia="DejaVuSerifCondensed" w:cs="DejaVuSerifCondensed"/>
        </w:rPr>
      </w:pPr>
    </w:p>
    <w:p w:rsidRPr="00277AFE" w:rsidR="00CE70D4" w:rsidP="00CE70D4" w:rsidRDefault="00CE70D4" w14:paraId="33473CC0"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1</w:t>
      </w:r>
    </w:p>
    <w:p w:rsidRPr="00277AFE" w:rsidR="00CE70D4" w:rsidP="00CE70D4" w:rsidRDefault="00CE70D4" w14:paraId="4EF261D9" w14:textId="77777777">
      <w:pPr>
        <w:autoSpaceDE w:val="0"/>
        <w:adjustRightInd w:val="0"/>
        <w:spacing w:line="240" w:lineRule="auto"/>
        <w:rPr>
          <w:rFonts w:eastAsia="DejaVuSerifCondensed" w:cs="DejaVuSerifCondensed"/>
        </w:rPr>
      </w:pPr>
      <w:bookmarkStart w:name="_Hlk183692298" w:id="0"/>
      <w:r w:rsidRPr="00277AFE">
        <w:rPr>
          <w:rFonts w:eastAsia="DejaVuSerifCondensed" w:cs="DejaVuSerifCondensed"/>
        </w:rPr>
        <w:t xml:space="preserve">Uit het onderzoek ‘Van Bajes naar buiten’ blijkt dat de beperkte mogelijkheden van de casemanager om een schuldenoverzicht te maken vooral te maken heeft met de hoge caseload van de casemanager en niet (duidelijk) zichtbare samenwerking met gemeenten. Voor wat betreft de caseload van de casemanager geldt dat er wordt gewerkt aan het verbeteren van het Detentie- en Re-integratieplan (D&amp;R-plan) waardoor naar verwachting de casemanager effectiever kan worden ingezet. In de zesde voortgangsbrief </w:t>
      </w:r>
      <w:r w:rsidRPr="00277AFE">
        <w:rPr>
          <w:rFonts w:eastAsia="DejaVuSerifCondensed" w:cs="DejaVuSerifCondensed"/>
          <w:i/>
          <w:iCs/>
        </w:rPr>
        <w:t xml:space="preserve">Recht doen, Kansen bieden </w:t>
      </w:r>
      <w:r w:rsidRPr="00277AFE">
        <w:rPr>
          <w:rFonts w:eastAsia="DejaVuSerifCondensed" w:cs="DejaVuSerifCondensed"/>
        </w:rPr>
        <w:t>is uw Kamer hierover geïnformeerd.</w:t>
      </w:r>
      <w:r w:rsidRPr="00277AFE">
        <w:rPr>
          <w:rFonts w:eastAsia="DejaVuSerifCondensed" w:cs="DejaVuSerifCondensed"/>
          <w:vertAlign w:val="superscript"/>
        </w:rPr>
        <w:footnoteReference w:id="1"/>
      </w:r>
      <w:r w:rsidRPr="00277AFE">
        <w:rPr>
          <w:rFonts w:eastAsia="DejaVuSerifCondensed" w:cs="DejaVuSerifCondensed"/>
        </w:rPr>
        <w:t xml:space="preserve"> Medio 2025 zal een werklastmeting plaatsvinden van de caseload van casemanagers. Ten aanzien van de schuldhulpverlening geldt dat dit een taak is van de gemeentes (zie het antwoord op vraag 2). Voor de samenwerking tussen Dienst Justitiële Inrichtingen (DJI) en gemeentes geldt dat sinds 2023 de werkwijze waarop gemeenten worden geïnformeerd over burgers in detentie is vernieuwd. Er is een digitale voorziening ontwikkeld voor het delen van het D&amp;R-plan. Hier maakt ondersteuning bij schulden onderdeel van uit. </w:t>
      </w:r>
      <w:r w:rsidRPr="00AC6E6C">
        <w:rPr>
          <w:rFonts w:eastAsia="DejaVuSerifCondensed" w:cs="DejaVuSerifCondensed"/>
        </w:rPr>
        <w:t>Via deze voorziening verstuurt DJI binnen 10 dagen informatie over het traject van de gedetineerde aan de gemeente van herkomst. Hierdoor is de gemeente beter betrokken bij de re-integratie van de gedetineerde.</w:t>
      </w:r>
    </w:p>
    <w:bookmarkEnd w:id="0"/>
    <w:p w:rsidRPr="00277AFE" w:rsidR="00CE70D4" w:rsidP="00CE70D4" w:rsidRDefault="00CE70D4" w14:paraId="43A0A257" w14:textId="77777777">
      <w:pPr>
        <w:autoSpaceDE w:val="0"/>
        <w:adjustRightInd w:val="0"/>
        <w:spacing w:line="240" w:lineRule="auto"/>
        <w:rPr>
          <w:rFonts w:eastAsia="DejaVuSerifCondensed" w:cs="DejaVuSerifCondensed"/>
          <w:b/>
          <w:bCs/>
        </w:rPr>
      </w:pPr>
      <w:r w:rsidRPr="00277AFE">
        <w:rPr>
          <w:rFonts w:eastAsia="DejaVuSerifCondensed" w:cs="DejaVuSerifCondensed"/>
        </w:rPr>
        <w:br/>
      </w:r>
      <w:r w:rsidRPr="00277AFE">
        <w:rPr>
          <w:rFonts w:eastAsia="DejaVuSerifCondensed" w:cs="DejaVuSerifCondensed"/>
          <w:b/>
          <w:bCs/>
        </w:rPr>
        <w:t xml:space="preserve">Vraag 2 </w:t>
      </w:r>
    </w:p>
    <w:p w:rsidRPr="00277AFE" w:rsidR="00CE70D4" w:rsidP="00CE70D4" w:rsidRDefault="00CE70D4" w14:paraId="0480BBA6"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lastRenderedPageBreak/>
        <w:t>Welke mogelijkheden zijn er om reeds tijdens detentie meer vorm te geven aan begeleiding bij schulden met het oog op het voorkomen van recidive en het bevorderen van re-integratie?</w:t>
      </w:r>
    </w:p>
    <w:p w:rsidRPr="00277AFE" w:rsidR="00CE70D4" w:rsidP="00CE70D4" w:rsidRDefault="00CE70D4" w14:paraId="59AB9330" w14:textId="77777777">
      <w:pPr>
        <w:autoSpaceDE w:val="0"/>
        <w:adjustRightInd w:val="0"/>
        <w:spacing w:line="240" w:lineRule="auto"/>
        <w:rPr>
          <w:rFonts w:eastAsia="DejaVuSerifCondensed" w:cs="DejaVuSerifCondensed"/>
        </w:rPr>
      </w:pPr>
    </w:p>
    <w:p w:rsidRPr="00277AFE" w:rsidR="00CE70D4" w:rsidP="00CE70D4" w:rsidRDefault="00CE70D4" w14:paraId="263A8802"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2</w:t>
      </w:r>
    </w:p>
    <w:p w:rsidRPr="00277AFE" w:rsidR="00CE70D4" w:rsidP="00CE70D4" w:rsidRDefault="00CE70D4" w14:paraId="2E8079F6" w14:textId="77777777">
      <w:pPr>
        <w:autoSpaceDE w:val="0"/>
        <w:adjustRightInd w:val="0"/>
        <w:spacing w:line="240" w:lineRule="auto"/>
      </w:pPr>
      <w:r w:rsidRPr="00277AFE">
        <w:rPr>
          <w:rFonts w:eastAsia="DejaVuSerifCondensed" w:cs="DejaVuSerifCondensed"/>
        </w:rPr>
        <w:t xml:space="preserve">Gemeenten hebben de wettelijke taak om schuldhulpverlening te bieden aan hun inwoners, ook wanneer deze in detentie verblijven. </w:t>
      </w:r>
      <w:bookmarkStart w:name="_Hlk182386905" w:id="1"/>
      <w:r w:rsidRPr="00277AFE">
        <w:rPr>
          <w:rFonts w:eastAsia="DejaVuSerifCondensed" w:cs="DejaVuSerifCondensed"/>
        </w:rPr>
        <w:t xml:space="preserve">De DJI signaleert bij aanvang van detentie of er schulden zijn. Indien er schulden zijn dan informeert DJI binnen tien werkdagen de gemeente van herkomst over de hulpvraag. </w:t>
      </w:r>
      <w:bookmarkEnd w:id="1"/>
      <w:r w:rsidRPr="00277AFE">
        <w:rPr>
          <w:rFonts w:eastAsia="DejaVuSerifCondensed" w:cs="DejaVuSerifCondensed"/>
        </w:rPr>
        <w:t xml:space="preserve">De gemeente ondersteunt de gedetineerde bij het vinden van een oplossing voor diens schuldenproblematiek. De casemanagers </w:t>
      </w:r>
      <w:r w:rsidRPr="00277AFE">
        <w:t>van DJI</w:t>
      </w:r>
      <w:r w:rsidRPr="00277AFE">
        <w:rPr>
          <w:rFonts w:eastAsia="DejaVuSerifCondensed" w:cs="DejaVuSerifCondensed"/>
        </w:rPr>
        <w:t xml:space="preserve"> hebben een signalerende rol ten aanzien van schulden en de gemeente heeft een ondersteuningsrol bij het oplossen hiervan. Gemeenten hebben beleidsvrijheid over de manier waarop zij gedetineerden ondersteunen bij het oplossen van de schuldenproblematiek. De ondersteuningsmogelijkheden zijn gelijk aan de mogelijkheden die er zijn voor alle inwoners. Zo kan er gebruik worden gemaakt van een schuldbemiddelingstraject of een saneringskrediet wanneer er sprake is van een problematische schuldensituatie. </w:t>
      </w:r>
      <w:bookmarkStart w:name="_Hlk183506164" w:id="2"/>
    </w:p>
    <w:p w:rsidRPr="00277AFE" w:rsidR="00CE70D4" w:rsidP="00CE70D4" w:rsidRDefault="00CE70D4" w14:paraId="11D3A5EA" w14:textId="77777777">
      <w:pPr>
        <w:autoSpaceDE w:val="0"/>
        <w:adjustRightInd w:val="0"/>
        <w:spacing w:line="240" w:lineRule="auto"/>
        <w:rPr>
          <w:rFonts w:eastAsia="DejaVuSerifCondensed" w:cs="DejaVuSerifCondensed"/>
        </w:rPr>
      </w:pPr>
      <w:r w:rsidRPr="00277AFE">
        <w:rPr>
          <w:rFonts w:eastAsia="DejaVuSerifCondensed" w:cs="DejaVuSerifCondensed"/>
        </w:rPr>
        <w:t xml:space="preserve"> </w:t>
      </w:r>
      <w:bookmarkEnd w:id="2"/>
    </w:p>
    <w:p w:rsidRPr="00277AFE" w:rsidR="00CE70D4" w:rsidP="00CE70D4" w:rsidRDefault="00CE70D4" w14:paraId="7F90C9C9"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Vraag 3</w:t>
      </w:r>
    </w:p>
    <w:p w:rsidRPr="00277AFE" w:rsidR="00CE70D4" w:rsidP="00CE70D4" w:rsidRDefault="00CE70D4" w14:paraId="709A24AB"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Is met het aanwijzen van één schuldhulpverlener per regio die werkzaam is de Penitentiaire Inrichting (PI) en het verantwoordelijk maken van deze persoon voor de gedetineerden uit de regio, een betere afstemming van de regierol en informatie-uitwisseling tussen re-integratieprofessionals geborgd zoals aanbevolen in het rapport ‘Van Bajes naar buiten’? En hoe wordt hierbinnen afstemming en samenwerking tussen Dienst Justitiële Inrichtingen (DJI), de regionale schuldhulpverlener en gemeenten geborgd én hoe wordt voorkomen dat er extra afstemmingslast bij gemeenten komt?</w:t>
      </w:r>
    </w:p>
    <w:p w:rsidRPr="00277AFE" w:rsidR="00CE70D4" w:rsidP="00CE70D4" w:rsidRDefault="00CE70D4" w14:paraId="647DAFAD" w14:textId="77777777">
      <w:pPr>
        <w:autoSpaceDE w:val="0"/>
        <w:adjustRightInd w:val="0"/>
        <w:spacing w:line="240" w:lineRule="auto"/>
        <w:rPr>
          <w:rFonts w:eastAsia="DejaVuSerifCondensed" w:cs="DejaVuSerifCondensed"/>
        </w:rPr>
      </w:pPr>
    </w:p>
    <w:p w:rsidRPr="00277AFE" w:rsidR="00CE70D4" w:rsidP="00CE70D4" w:rsidRDefault="00CE70D4" w14:paraId="44C96DEB"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3</w:t>
      </w:r>
    </w:p>
    <w:p w:rsidRPr="00277AFE" w:rsidR="00CE70D4" w:rsidP="00CE70D4" w:rsidRDefault="00CE70D4" w14:paraId="7E8AA3B0" w14:textId="77777777">
      <w:pPr>
        <w:autoSpaceDE w:val="0"/>
        <w:adjustRightInd w:val="0"/>
        <w:spacing w:line="240" w:lineRule="auto"/>
      </w:pPr>
      <w:r w:rsidRPr="00277AFE">
        <w:t>Gemeenten kennen beleidsvrijheid in de wijze waarop zij schuldhulpverlening bieden aan hun inwoners die verblijven in detentie. Zij kunnen daarom ook kiezen om hierin regionaal op te trekken. Hierdoor worden de uitvoeringslasten voor de individuele gemeenten verdeeld. In de uitwerking van de genoemde motie</w:t>
      </w:r>
      <w:r w:rsidRPr="00277AFE">
        <w:rPr>
          <w:rStyle w:val="Voetnootmarkering"/>
        </w:rPr>
        <w:footnoteReference w:id="2"/>
      </w:r>
      <w:r w:rsidRPr="00277AFE">
        <w:t xml:space="preserve"> kwam naar voren dat het aanwijzen van één regionale schuldhulpverlener zal kunnen leiden tot een betere afstemming tussen schuldhulpverlener en de casemanagers van DJI. Op die manier hebben zij niet te maken met individuele gemeenten maar hebben zij één aanspreekpunt per penitentiaire inrichting. Ook voor individuele gemeenten kan de inzet van een regionale schuldhulpverlener effectief zijn. De lokale schuldhulpverleners gaan </w:t>
      </w:r>
      <w:r w:rsidRPr="00277AFE">
        <w:lastRenderedPageBreak/>
        <w:t>immers niet meer zelf naar de PI maar kunnen hier een regionale schuldhulpverlener voor inzetten, dit scheelt tijd en daarom ook kosten. In de zomer is aan uw Kamer toegezegd om de mogelijkheid van het inzetten van één regionale schuldhulpverlener te verkennen.</w:t>
      </w:r>
      <w:r w:rsidRPr="00277AFE">
        <w:rPr>
          <w:rStyle w:val="Voetnootmarkering"/>
        </w:rPr>
        <w:footnoteReference w:id="3"/>
      </w:r>
      <w:r w:rsidRPr="00277AFE">
        <w:t xml:space="preserve"> Over deze toezegging wordt u Kamer voor het einde van het jaar geïnformeerd in de voortgangsbrief Armoede en Schulden.</w:t>
      </w:r>
    </w:p>
    <w:p w:rsidRPr="00277AFE" w:rsidR="00CE70D4" w:rsidP="00CE70D4" w:rsidRDefault="00CE70D4" w14:paraId="27B6968B" w14:textId="77777777">
      <w:pPr>
        <w:autoSpaceDE w:val="0"/>
        <w:adjustRightInd w:val="0"/>
        <w:spacing w:line="240" w:lineRule="auto"/>
        <w:rPr>
          <w:rFonts w:eastAsia="DejaVuSerifCondensed" w:cs="DejaVuSerifCondensed"/>
        </w:rPr>
      </w:pPr>
    </w:p>
    <w:p w:rsidRPr="00277AFE" w:rsidR="00CE70D4" w:rsidP="00CE70D4" w:rsidRDefault="00CE70D4" w14:paraId="22BA12DD"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Vraag 4</w:t>
      </w:r>
    </w:p>
    <w:p w:rsidRPr="00277AFE" w:rsidR="00CE70D4" w:rsidP="00CE70D4" w:rsidRDefault="00CE70D4" w14:paraId="57725CE2"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Hoeveel uur hebben casemanagers gemiddeld beschikbaar voor de schuldenaanpak? Wat is hun caseload? Zijn deze uren ook afdoende voor het begeleiden van gedetineerden ten aanzien van schulden?</w:t>
      </w:r>
    </w:p>
    <w:p w:rsidRPr="00277AFE" w:rsidR="00CE70D4" w:rsidP="00CE70D4" w:rsidRDefault="00CE70D4" w14:paraId="59623792" w14:textId="77777777">
      <w:pPr>
        <w:autoSpaceDE w:val="0"/>
        <w:adjustRightInd w:val="0"/>
        <w:spacing w:line="240" w:lineRule="auto"/>
        <w:rPr>
          <w:rFonts w:eastAsia="DejaVuSerifCondensed" w:cs="DejaVuSerifCondensed"/>
        </w:rPr>
      </w:pPr>
    </w:p>
    <w:p w:rsidRPr="00277AFE" w:rsidR="00CE70D4" w:rsidP="00CE70D4" w:rsidRDefault="00CE70D4" w14:paraId="27FAC457"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4</w:t>
      </w:r>
    </w:p>
    <w:p w:rsidRPr="00277AFE" w:rsidR="00CE70D4" w:rsidP="00CE70D4" w:rsidRDefault="00CE70D4" w14:paraId="5A4B1173" w14:textId="77777777">
      <w:pPr>
        <w:autoSpaceDE w:val="0"/>
        <w:adjustRightInd w:val="0"/>
        <w:spacing w:line="240" w:lineRule="auto"/>
        <w:rPr>
          <w:rFonts w:eastAsia="DejaVuSerifCondensed" w:cs="DejaVuSerifCondensed"/>
        </w:rPr>
      </w:pPr>
      <w:bookmarkStart w:name="_Hlk183692265" w:id="3"/>
      <w:r w:rsidRPr="00277AFE">
        <w:rPr>
          <w:rFonts w:eastAsia="DejaVuSerifCondensed" w:cs="DejaVuSerifCondensed"/>
        </w:rPr>
        <w:t xml:space="preserve">Een ureninschatting voor ondersteuning bij specifiek de schuldenaanpak is niet te geven. De casemanagers van DJI hebben de taak om samen met de gedetineerde aan de slag te gaan met een persoonsgericht D&amp;R-plan waarbij aandacht is voor </w:t>
      </w:r>
      <w:r w:rsidRPr="00277AFE">
        <w:rPr>
          <w:rFonts w:eastAsia="DejaVuSerifCondensed" w:cs="DejaVuSerifCondensed"/>
          <w:i/>
          <w:iCs/>
        </w:rPr>
        <w:t>alle</w:t>
      </w:r>
      <w:r w:rsidRPr="00277AFE">
        <w:rPr>
          <w:rFonts w:eastAsia="DejaVuSerifCondensed" w:cs="DejaVuSerifCondensed"/>
        </w:rPr>
        <w:t xml:space="preserve"> basisvoorwaarden. Een schuldenaanpak kan daar onderdeel van uitmaken. Als er sprake is van schulden bij gedetineerden dan wordt de gemeente van herkomst geïnformeerd over de hulpvraag. Gemeenten hebben immers de wettelijke taak om gedetineerden te begeleiden bij het oplossen van de schuldenproblematiek </w:t>
      </w:r>
    </w:p>
    <w:p w:rsidRPr="00277AFE" w:rsidR="00CE70D4" w:rsidP="00CE70D4" w:rsidRDefault="00CE70D4" w14:paraId="0CE94C6F" w14:textId="77777777">
      <w:pPr>
        <w:autoSpaceDE w:val="0"/>
        <w:adjustRightInd w:val="0"/>
        <w:spacing w:line="240" w:lineRule="auto"/>
        <w:rPr>
          <w:rFonts w:eastAsia="DejaVuSerifCondensed" w:cs="DejaVuSerifCondensed"/>
        </w:rPr>
      </w:pPr>
    </w:p>
    <w:p w:rsidRPr="00277AFE" w:rsidR="00CE70D4" w:rsidP="00CE70D4" w:rsidRDefault="00CE70D4" w14:paraId="6D260820" w14:textId="77777777">
      <w:pPr>
        <w:autoSpaceDE w:val="0"/>
        <w:adjustRightInd w:val="0"/>
        <w:spacing w:line="240" w:lineRule="auto"/>
        <w:rPr>
          <w:rFonts w:eastAsia="DejaVuSerifCondensed" w:cs="DejaVuSerifCondensed"/>
        </w:rPr>
      </w:pPr>
      <w:r w:rsidRPr="00277AFE">
        <w:rPr>
          <w:rFonts w:eastAsia="DejaVuSerifCondensed" w:cs="DejaVuSerifCondensed"/>
        </w:rPr>
        <w:t>Zoals in het antwoord op vraag 1 benoemd, wordt er gewerkt aan een verbetering van het D&amp;R proces waardoor naar verwachting de casemanager effectiever kan worden ingezet. M</w:t>
      </w:r>
      <w:bookmarkStart w:name="_Hlk181095873" w:id="4"/>
      <w:bookmarkStart w:name="_Hlk182388818" w:id="5"/>
      <w:r w:rsidRPr="00277AFE">
        <w:rPr>
          <w:rFonts w:eastAsia="DejaVuSerifCondensed" w:cs="DejaVuSerifCondensed"/>
        </w:rPr>
        <w:t>edio 2025 vindt er een werklastmeting plaats van de caseload van casemanagers.</w:t>
      </w:r>
      <w:r w:rsidRPr="00277AFE">
        <w:rPr>
          <w:rFonts w:eastAsia="DejaVuSerifCondensed" w:cs="DejaVuSerifCondensed"/>
          <w:vertAlign w:val="superscript"/>
        </w:rPr>
        <w:footnoteReference w:id="4"/>
      </w:r>
    </w:p>
    <w:bookmarkEnd w:id="3"/>
    <w:bookmarkEnd w:id="4"/>
    <w:bookmarkEnd w:id="5"/>
    <w:p w:rsidRPr="00277AFE" w:rsidR="00CE70D4" w:rsidP="00CE70D4" w:rsidRDefault="00CE70D4" w14:paraId="6712B09A" w14:textId="77777777">
      <w:pPr>
        <w:autoSpaceDE w:val="0"/>
        <w:adjustRightInd w:val="0"/>
        <w:spacing w:line="240" w:lineRule="auto"/>
        <w:rPr>
          <w:rFonts w:eastAsia="DejaVuSerifCondensed" w:cs="DejaVuSerifCondensed"/>
        </w:rPr>
      </w:pPr>
    </w:p>
    <w:p w:rsidRPr="00277AFE" w:rsidR="00CE70D4" w:rsidP="00CE70D4" w:rsidRDefault="00CE70D4" w14:paraId="530E033F" w14:textId="77777777">
      <w:pPr>
        <w:autoSpaceDE w:val="0"/>
        <w:adjustRightInd w:val="0"/>
        <w:spacing w:line="240" w:lineRule="auto"/>
        <w:rPr>
          <w:rFonts w:eastAsia="DejaVuSerifCondensed" w:cs="DejaVuSerifCondensed"/>
        </w:rPr>
      </w:pPr>
    </w:p>
    <w:p w:rsidRPr="00277AFE" w:rsidR="00CE70D4" w:rsidP="00CE70D4" w:rsidRDefault="00CE70D4" w14:paraId="5B9F7907" w14:textId="77777777">
      <w:pPr>
        <w:autoSpaceDE w:val="0"/>
        <w:adjustRightInd w:val="0"/>
        <w:spacing w:line="240" w:lineRule="auto"/>
        <w:rPr>
          <w:rFonts w:eastAsia="DejaVuSerifCondensed" w:cs="DejaVuSerifCondensed"/>
        </w:rPr>
      </w:pPr>
    </w:p>
    <w:p w:rsidRPr="00277AFE" w:rsidR="00CE70D4" w:rsidP="00CE70D4" w:rsidRDefault="00CE70D4" w14:paraId="0FF2E606" w14:textId="77777777">
      <w:pPr>
        <w:autoSpaceDE w:val="0"/>
        <w:adjustRightInd w:val="0"/>
        <w:spacing w:line="240" w:lineRule="auto"/>
        <w:rPr>
          <w:rFonts w:eastAsia="DejaVuSerifCondensed" w:cs="DejaVuSerifCondensed"/>
        </w:rPr>
      </w:pPr>
    </w:p>
    <w:p w:rsidRPr="00277AFE" w:rsidR="00CE70D4" w:rsidP="00CE70D4" w:rsidRDefault="00CE70D4" w14:paraId="746F3DE8" w14:textId="77777777">
      <w:pPr>
        <w:autoSpaceDE w:val="0"/>
        <w:adjustRightInd w:val="0"/>
        <w:spacing w:line="240" w:lineRule="auto"/>
        <w:rPr>
          <w:rFonts w:eastAsia="DejaVuSerifCondensed" w:cs="DejaVuSerifCondensed"/>
        </w:rPr>
      </w:pPr>
    </w:p>
    <w:p w:rsidR="00CE70D4" w:rsidP="00CE70D4" w:rsidRDefault="00CE70D4" w14:paraId="6AA6E34B" w14:textId="77777777">
      <w:pPr>
        <w:autoSpaceDE w:val="0"/>
        <w:adjustRightInd w:val="0"/>
        <w:spacing w:line="240" w:lineRule="auto"/>
        <w:rPr>
          <w:rFonts w:eastAsia="DejaVuSerifCondensed" w:cs="DejaVuSerifCondensed"/>
        </w:rPr>
      </w:pPr>
    </w:p>
    <w:p w:rsidRPr="00277AFE" w:rsidR="00CE70D4" w:rsidP="00CE70D4" w:rsidRDefault="00CE70D4" w14:paraId="1F6A9162" w14:textId="77777777">
      <w:pPr>
        <w:autoSpaceDE w:val="0"/>
        <w:adjustRightInd w:val="0"/>
        <w:spacing w:line="240" w:lineRule="auto"/>
        <w:rPr>
          <w:rFonts w:eastAsia="DejaVuSerifCondensed" w:cs="DejaVuSerifCondensed"/>
        </w:rPr>
      </w:pPr>
    </w:p>
    <w:p w:rsidRPr="00277AFE" w:rsidR="00CE70D4" w:rsidP="00CE70D4" w:rsidRDefault="00CE70D4" w14:paraId="56582DF9" w14:textId="77777777">
      <w:pPr>
        <w:autoSpaceDE w:val="0"/>
        <w:adjustRightInd w:val="0"/>
        <w:spacing w:line="240" w:lineRule="auto"/>
        <w:rPr>
          <w:rFonts w:eastAsia="DejaVuSerifCondensed" w:cs="DejaVuSerifCondensed"/>
        </w:rPr>
      </w:pPr>
    </w:p>
    <w:p w:rsidRPr="00277AFE" w:rsidR="00CE70D4" w:rsidP="00CE70D4" w:rsidRDefault="00CE70D4" w14:paraId="0FE88D57"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lastRenderedPageBreak/>
        <w:t xml:space="preserve">Vraag 5 </w:t>
      </w:r>
    </w:p>
    <w:p w:rsidRPr="00277AFE" w:rsidR="00CE70D4" w:rsidP="00CE70D4" w:rsidRDefault="00CE70D4" w14:paraId="6782FAF3"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In hoeverre is de ondersteuning vanuit gemeenten daadwerkelijk effectief voor personen in detentie om het re-integratieproces soepel(er) te laten verlopen?</w:t>
      </w:r>
    </w:p>
    <w:p w:rsidRPr="00277AFE" w:rsidR="00CE70D4" w:rsidP="00CE70D4" w:rsidRDefault="00CE70D4" w14:paraId="26E22CE5" w14:textId="77777777">
      <w:pPr>
        <w:autoSpaceDE w:val="0"/>
        <w:adjustRightInd w:val="0"/>
        <w:spacing w:line="240" w:lineRule="auto"/>
        <w:rPr>
          <w:rFonts w:eastAsia="DejaVuSerifCondensed" w:cs="DejaVuSerifCondensed"/>
        </w:rPr>
      </w:pPr>
    </w:p>
    <w:p w:rsidRPr="00277AFE" w:rsidR="00CE70D4" w:rsidP="00CE70D4" w:rsidRDefault="00CE70D4" w14:paraId="4DE12741"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5</w:t>
      </w:r>
    </w:p>
    <w:p w:rsidRPr="00277AFE" w:rsidR="00CE70D4" w:rsidP="00CE70D4" w:rsidRDefault="00CE70D4" w14:paraId="51ABCF30" w14:textId="77777777">
      <w:pPr>
        <w:autoSpaceDE w:val="0"/>
        <w:adjustRightInd w:val="0"/>
        <w:spacing w:line="240" w:lineRule="auto"/>
      </w:pPr>
      <w:r w:rsidRPr="00277AFE">
        <w:t>Er zijn geen cijfers bekend over de effectiviteit van de schuldhulpverlening tijdens detentie. Wel blijkt de problematische schuldensituatie voor een grote groep nazorgkandidaten nauwelijks voor en na detentie te zijn veranderd. Dat wil zeggen dat ongeveer 90% van de nazorgkandidaten die voor detentie problematische schulden had deze nog steeds had na detentie.</w:t>
      </w:r>
      <w:r w:rsidRPr="00277AFE">
        <w:rPr>
          <w:vertAlign w:val="superscript"/>
        </w:rPr>
        <w:footnoteReference w:id="5"/>
      </w:r>
      <w:r w:rsidRPr="00277AFE">
        <w:t xml:space="preserve"> Gemeenten verschillen in de ondersteuningsmogelijkheden die zij bieden aan hun inwoners, ook wanneer zij in detentie verblijven. Hoewel gemeenten de wettelijke taak hebben om ook gedetineerden te ondersteunen bij hun schuldenproblematiek zien we dat de aanpak en capaciteit per gemeente verschilt. Wanneer een inwoner in detentie verblijft, is het voor een lokale schuldhulpverlener praktisch niet goed mogelijk om de verschillende DJI te bezoeken omdat deze op geruime afstand van gemeente kunnen liggen. Er is onvoldoende ruimte om de vraag naar en aanbod van schuldhulpverlening bij elkaar te brengen. Dit maakt het tot een uitdaging voor gemeenten om schuldhulpverlening te bieden aan inwoners die in detentie verblijven.</w:t>
      </w:r>
    </w:p>
    <w:p w:rsidRPr="00277AFE" w:rsidR="00CE70D4" w:rsidP="00CE70D4" w:rsidRDefault="00CE70D4" w14:paraId="473857D4" w14:textId="77777777">
      <w:pPr>
        <w:autoSpaceDE w:val="0"/>
        <w:adjustRightInd w:val="0"/>
        <w:spacing w:line="240" w:lineRule="auto"/>
      </w:pPr>
    </w:p>
    <w:p w:rsidRPr="00277AFE" w:rsidR="00CE70D4" w:rsidP="00CE70D4" w:rsidRDefault="00CE70D4" w14:paraId="578E2F5D"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Vraag 6</w:t>
      </w:r>
    </w:p>
    <w:p w:rsidRPr="00277AFE" w:rsidR="00CE70D4" w:rsidP="00CE70D4" w:rsidRDefault="00CE70D4" w14:paraId="04BBEA57"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Hoeveel gemeenten bekostigen tijdelijk de vaste lasten van gedetineerden vanuit de bijzondere bijstand met als doel escalatie van de schuldensituatie na detentie te voorkomen en daarmee het risico op recidive?</w:t>
      </w:r>
    </w:p>
    <w:p w:rsidRPr="00277AFE" w:rsidR="00CE70D4" w:rsidP="00CE70D4" w:rsidRDefault="00CE70D4" w14:paraId="3819C022" w14:textId="77777777">
      <w:pPr>
        <w:autoSpaceDE w:val="0"/>
        <w:adjustRightInd w:val="0"/>
        <w:spacing w:line="240" w:lineRule="auto"/>
        <w:rPr>
          <w:rFonts w:eastAsia="DejaVuSerifCondensed" w:cs="DejaVuSerifCondensed"/>
          <w:b/>
          <w:bCs/>
        </w:rPr>
      </w:pPr>
    </w:p>
    <w:p w:rsidRPr="00277AFE" w:rsidR="00CE70D4" w:rsidP="00CE70D4" w:rsidRDefault="00CE70D4" w14:paraId="4EEC987D"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 xml:space="preserve">Antwoord 6 </w:t>
      </w:r>
    </w:p>
    <w:p w:rsidRPr="00277AFE" w:rsidR="00CE70D4" w:rsidP="00CE70D4" w:rsidRDefault="00CE70D4" w14:paraId="65A2DFD4" w14:textId="77777777">
      <w:pPr>
        <w:autoSpaceDE w:val="0"/>
        <w:adjustRightInd w:val="0"/>
        <w:spacing w:line="240" w:lineRule="auto"/>
      </w:pPr>
      <w:r w:rsidRPr="00277AFE">
        <w:t>Als iemand gedetineerd is, dan heeft hij geen recht op algemene of bijzondere bijstand.</w:t>
      </w:r>
      <w:r w:rsidRPr="00277AFE">
        <w:rPr>
          <w:vertAlign w:val="superscript"/>
        </w:rPr>
        <w:footnoteReference w:id="6"/>
      </w:r>
      <w:r w:rsidRPr="00277AFE">
        <w:t xml:space="preserve"> Het ministerie van Justitie en Veiligheid voorziet in de algemene en bijzondere noodzakelijke kosten van het bestaan voor gedetineerden, ook tijdens het weekendverlof. De kosten voor het aanhouden van een woning moet de gedetineerde zelf betalen. Het is zijn eigen verantwoordelijkheid om een afdoende regeling te treffen. In acute noodsituaties waarin dit niet mogelijk is, kan de gemeente op grond van zeer dringende redenen en afhankelijk van het individuele geval bijzondere bijstand verstrekken voor doorbetaling huur en eventuele andere woonlasten (zoals vastrecht voor gas, water en elektriciteit). Het betreft echter slechts heel uitzonderlijke situaties waarbij steeds een strikt </w:t>
      </w:r>
      <w:r w:rsidRPr="00277AFE">
        <w:lastRenderedPageBreak/>
        <w:t>individuele afweging van de omstandigheden noodzakelijk is. Het is niet bekend hoeveel gemeenten hier gebruik van maken.</w:t>
      </w:r>
    </w:p>
    <w:p w:rsidRPr="00277AFE" w:rsidR="00CE70D4" w:rsidP="00CE70D4" w:rsidRDefault="00CE70D4" w14:paraId="3471C1DA" w14:textId="77777777">
      <w:pPr>
        <w:autoSpaceDE w:val="0"/>
        <w:adjustRightInd w:val="0"/>
        <w:spacing w:line="240" w:lineRule="auto"/>
        <w:rPr>
          <w:rFonts w:eastAsia="DejaVuSerifCondensed" w:cs="DejaVuSerifCondensed"/>
        </w:rPr>
      </w:pPr>
    </w:p>
    <w:p w:rsidRPr="00277AFE" w:rsidR="00CE70D4" w:rsidP="00CE70D4" w:rsidRDefault="00CE70D4" w14:paraId="0B268903"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Vraag 7</w:t>
      </w:r>
    </w:p>
    <w:p w:rsidRPr="00277AFE" w:rsidR="00CE70D4" w:rsidP="00CE70D4" w:rsidRDefault="00CE70D4" w14:paraId="6062F022"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Hoe wordt het instrument van bijzondere bijstand en het doorbetalen van vaste lasten onder de aandacht gebracht bij gemeenten? En wordt dit onderdeel van de basisdienstverlening schuldhulpverlening van de Vereniging Nederlandse Gemeenten (VNG), de Nederlandse Verenging voor Volkskrediet (NVVK), Divosa en het kabinet?</w:t>
      </w:r>
    </w:p>
    <w:p w:rsidRPr="00277AFE" w:rsidR="00CE70D4" w:rsidP="00CE70D4" w:rsidRDefault="00CE70D4" w14:paraId="4EA34375" w14:textId="77777777">
      <w:pPr>
        <w:autoSpaceDE w:val="0"/>
        <w:adjustRightInd w:val="0"/>
        <w:spacing w:line="240" w:lineRule="auto"/>
        <w:rPr>
          <w:rFonts w:eastAsia="DejaVuSerifCondensed" w:cs="DejaVuSerifCondensed"/>
        </w:rPr>
      </w:pPr>
    </w:p>
    <w:p w:rsidRPr="00277AFE" w:rsidR="00CE70D4" w:rsidP="00CE70D4" w:rsidRDefault="00CE70D4" w14:paraId="685FCA0D"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 xml:space="preserve">Antwoord vraag 7 </w:t>
      </w:r>
    </w:p>
    <w:p w:rsidRPr="00277AFE" w:rsidR="00CE70D4" w:rsidP="00CE70D4" w:rsidRDefault="00CE70D4" w14:paraId="3DD739CD" w14:textId="77777777">
      <w:pPr>
        <w:autoSpaceDE w:val="0"/>
        <w:adjustRightInd w:val="0"/>
        <w:spacing w:line="240" w:lineRule="auto"/>
        <w:rPr>
          <w:rFonts w:eastAsia="DejaVuSerifCondensed" w:cs="DejaVuSerifCondensed"/>
        </w:rPr>
      </w:pPr>
      <w:r w:rsidRPr="00277AFE">
        <w:rPr>
          <w:rFonts w:eastAsia="DejaVuSerifCondensed" w:cs="DejaVuSerifCondensed"/>
        </w:rPr>
        <w:t xml:space="preserve">Het behoort tot de bevoegdheid en verantwoordelijkheid van het college om invulling te geven aan de uitvoering van de Participatiewet. De gemeenteraad houdt toezicht. Informatie over de toekenning van bijzondere bijstand in dergelijke situaties kunnen gemeenten vinden op reguliere kennisbanken als Stimulansz en Schulinck. </w:t>
      </w:r>
    </w:p>
    <w:p w:rsidRPr="00277AFE" w:rsidR="00CE70D4" w:rsidP="00CE70D4" w:rsidRDefault="00CE70D4" w14:paraId="04D14897" w14:textId="77777777">
      <w:pPr>
        <w:autoSpaceDE w:val="0"/>
        <w:adjustRightInd w:val="0"/>
        <w:spacing w:line="240" w:lineRule="auto"/>
        <w:rPr>
          <w:rFonts w:eastAsia="DejaVuSerifCondensed" w:cs="DejaVuSerifCondensed"/>
        </w:rPr>
      </w:pPr>
      <w:r w:rsidRPr="00277AFE">
        <w:rPr>
          <w:rFonts w:eastAsia="DejaVuSerifCondensed" w:cs="DejaVuSerifCondensed"/>
        </w:rPr>
        <w:t>Anders dan de doelgroep jongeren, ondernemers en huisbezitters, is er geen specifieke aanpak voor gedetineerden opgenomen in de basisdienstverlening. Gemeente Den Haag evalueert momenteel de pilot ‘Schuldenzorgenvrij uit detentie’.</w:t>
      </w:r>
      <w:r w:rsidRPr="00277AFE">
        <w:rPr>
          <w:rFonts w:eastAsia="DejaVuSerifCondensed" w:cs="DejaVuSerifCondensed"/>
          <w:vertAlign w:val="superscript"/>
        </w:rPr>
        <w:footnoteReference w:id="7"/>
      </w:r>
      <w:r w:rsidRPr="00277AFE">
        <w:rPr>
          <w:rFonts w:eastAsia="DejaVuSerifCondensed" w:cs="DejaVuSerifCondensed"/>
        </w:rPr>
        <w:t xml:space="preserve"> Mocht hun aanpak succesvol zijn gebleken, dan zal de Staatssecretaris van Participatie en Integratie (P&amp;I) in gesprek gaan met VNG, NVVK en Divosa over de mogelijkheid om deze aanpak op te nemen in het actieplan van de basisdienstverlening.</w:t>
      </w:r>
    </w:p>
    <w:p w:rsidRPr="00277AFE" w:rsidR="00CE70D4" w:rsidP="00CE70D4" w:rsidRDefault="00CE70D4" w14:paraId="6BDA7789" w14:textId="77777777">
      <w:pPr>
        <w:autoSpaceDE w:val="0"/>
        <w:adjustRightInd w:val="0"/>
        <w:spacing w:line="240" w:lineRule="auto"/>
        <w:rPr>
          <w:rFonts w:eastAsia="DejaVuSerifCondensed" w:cs="DejaVuSerifCondensed"/>
        </w:rPr>
      </w:pPr>
    </w:p>
    <w:p w:rsidRPr="00277AFE" w:rsidR="00CE70D4" w:rsidP="00CE70D4" w:rsidRDefault="00CE70D4" w14:paraId="3728A2D4" w14:textId="77777777">
      <w:pPr>
        <w:autoSpaceDE w:val="0"/>
        <w:adjustRightInd w:val="0"/>
        <w:spacing w:line="240" w:lineRule="auto"/>
        <w:rPr>
          <w:rFonts w:eastAsia="DejaVuSerifCondensed" w:cs="DejaVuSerifCondensed"/>
          <w:b/>
          <w:bCs/>
        </w:rPr>
      </w:pPr>
      <w:bookmarkStart w:name="_Hlk181180020" w:id="7"/>
      <w:r w:rsidRPr="00277AFE">
        <w:rPr>
          <w:rFonts w:eastAsia="DejaVuSerifCondensed" w:cs="DejaVuSerifCondensed"/>
          <w:b/>
          <w:bCs/>
        </w:rPr>
        <w:t xml:space="preserve">Vraag 8 </w:t>
      </w:r>
    </w:p>
    <w:p w:rsidRPr="00277AFE" w:rsidR="00CE70D4" w:rsidP="00CE70D4" w:rsidRDefault="00CE70D4" w14:paraId="2CFB73C3"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Wanneer kan de Kamer de wettelijke regeling om de zorgverzekering tijdens detentie automatisch op te schorten verwachten?</w:t>
      </w:r>
    </w:p>
    <w:p w:rsidRPr="00277AFE" w:rsidR="00CE70D4" w:rsidP="00CE70D4" w:rsidRDefault="00CE70D4" w14:paraId="4594C406" w14:textId="77777777">
      <w:pPr>
        <w:autoSpaceDE w:val="0"/>
        <w:adjustRightInd w:val="0"/>
        <w:spacing w:line="240" w:lineRule="auto"/>
        <w:rPr>
          <w:rFonts w:eastAsia="DejaVuSerifCondensed" w:cs="DejaVuSerifCondensed"/>
          <w:b/>
          <w:bCs/>
        </w:rPr>
      </w:pPr>
    </w:p>
    <w:p w:rsidRPr="00277AFE" w:rsidR="00CE70D4" w:rsidP="00CE70D4" w:rsidRDefault="00CE70D4" w14:paraId="7730FF41"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8</w:t>
      </w:r>
    </w:p>
    <w:bookmarkEnd w:id="7"/>
    <w:p w:rsidRPr="00277AFE" w:rsidR="00CE70D4" w:rsidP="00CE70D4" w:rsidRDefault="00CE70D4" w14:paraId="2DBD6217" w14:textId="77777777">
      <w:pPr>
        <w:autoSpaceDE w:val="0"/>
        <w:adjustRightInd w:val="0"/>
        <w:spacing w:line="240" w:lineRule="auto"/>
        <w:rPr>
          <w:rFonts w:eastAsia="DejaVuSerifCondensed" w:cs="DejaVuSerifCondensed"/>
        </w:rPr>
      </w:pPr>
      <w:r w:rsidRPr="00277AFE">
        <w:rPr>
          <w:rFonts w:eastAsia="DejaVuSerifCondensed" w:cs="DejaVuSerifCondensed"/>
        </w:rPr>
        <w:t xml:space="preserve">De ministeries van VWS en Justitie en Veiligheid onderzoeken samen met de zorgverzekeraars, het CAK en DJI of de zorgverzekering tijdens detentie automatisch kan worden opgeschort en na detentie automatisch hervat. Hiervoor moeten de uitvoeringsconsequenties in beeld worden gebracht en er is een aanpassing van de Zorgverzekeringswet nodig. Uw Kamer wordt via de jaarlijkse brief over het gevangeniswezen op de hoogte gehouden van de ontwikkelingen van dit punt.  </w:t>
      </w:r>
      <w:r w:rsidRPr="00277AFE">
        <w:rPr>
          <w:rFonts w:eastAsia="DejaVuSerifCondensed" w:cs="DejaVuSerifCondensed"/>
        </w:rPr>
        <w:br/>
      </w:r>
    </w:p>
    <w:p w:rsidRPr="00277AFE" w:rsidR="00CE70D4" w:rsidP="00CE70D4" w:rsidRDefault="00CE70D4" w14:paraId="5568E166"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lastRenderedPageBreak/>
        <w:t xml:space="preserve">Vraag 9 </w:t>
      </w:r>
    </w:p>
    <w:p w:rsidRPr="00277AFE" w:rsidR="00CE70D4" w:rsidP="00CE70D4" w:rsidRDefault="00CE70D4" w14:paraId="339BE61D"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Wanneer wordt het verstrekken van een saneringskrediet tijdens detentie een onderdeel van de basisdienstverlening schuldhulpverlening van VNG, NVVK, Divosa en het kabinet?</w:t>
      </w:r>
    </w:p>
    <w:p w:rsidRPr="00277AFE" w:rsidR="00CE70D4" w:rsidP="00CE70D4" w:rsidRDefault="00CE70D4" w14:paraId="7ED7BB20" w14:textId="77777777">
      <w:pPr>
        <w:autoSpaceDE w:val="0"/>
        <w:adjustRightInd w:val="0"/>
        <w:spacing w:line="240" w:lineRule="auto"/>
        <w:rPr>
          <w:rFonts w:eastAsia="DejaVuSerifCondensed" w:cs="DejaVuSerifCondensed"/>
          <w:b/>
          <w:bCs/>
        </w:rPr>
      </w:pPr>
    </w:p>
    <w:p w:rsidRPr="00277AFE" w:rsidR="00CE70D4" w:rsidP="00CE70D4" w:rsidRDefault="00CE70D4" w14:paraId="3532BD9A"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9</w:t>
      </w:r>
    </w:p>
    <w:p w:rsidRPr="00277AFE" w:rsidR="00CE70D4" w:rsidP="00CE70D4" w:rsidRDefault="00CE70D4" w14:paraId="76A083E6" w14:textId="77777777">
      <w:pPr>
        <w:autoSpaceDE w:val="0"/>
        <w:adjustRightInd w:val="0"/>
        <w:spacing w:line="240" w:lineRule="auto"/>
        <w:rPr>
          <w:rFonts w:eastAsia="DejaVuSerifCondensed" w:cs="DejaVuSerifCondensed"/>
        </w:rPr>
      </w:pPr>
      <w:r w:rsidRPr="00277AFE">
        <w:rPr>
          <w:rFonts w:eastAsia="DejaVuSerifCondensed" w:cs="DejaVuSerifCondensed"/>
        </w:rPr>
        <w:t>Gemeenten kunnen al een saneringskrediet inzetten tijdens detentie. De gemeente Den Haag doet dit al voor haar inwoners die in detentie verblijven. Uit gesprekken met de VNG en NVVK blijkt echter dat gemeenten hierin terughoudend zijn. Omdat de gedetineerden tijdelijk geen inkomen hebben, wordt het inkomen waarop het krediet wordt ingezet geschat. Hiermee loopt de gemeente het risico dat het verstrekte krediet niet volledig kan worden afbetaald door gedetineerden wanneer blijkt dat inkomen te laag is ingeschat. Om dit risico voor gemeenten te verlagen, is de staatsecretaris van P&amp;I in gesprek met het waarborgfonds saneringskredieten. Dit is toegezegd in de derde voortgangsrapportage van de Aanpak geldzorgen, armoede en schulden.</w:t>
      </w:r>
      <w:r w:rsidRPr="00277AFE">
        <w:rPr>
          <w:rFonts w:eastAsia="DejaVuSerifCondensed" w:cs="DejaVuSerifCondensed"/>
          <w:vertAlign w:val="superscript"/>
        </w:rPr>
        <w:footnoteReference w:id="8"/>
      </w:r>
      <w:r w:rsidRPr="00277AFE">
        <w:rPr>
          <w:rFonts w:eastAsia="DejaVuSerifCondensed" w:cs="DejaVuSerifCondensed"/>
        </w:rPr>
        <w:t xml:space="preserve"> </w:t>
      </w:r>
      <w:bookmarkStart w:name="_Hlk183591525" w:id="8"/>
      <w:r w:rsidRPr="00277AFE">
        <w:rPr>
          <w:rFonts w:eastAsia="DejaVuSerifCondensed" w:cs="DejaVuSerifCondensed"/>
        </w:rPr>
        <w:t>Over deze toezegging wordt u geïnformeerd in de voortgangsbrief Armoede en Schulden die voor het eind van dit jaar naar uw Kamer wordt verzonden.</w:t>
      </w:r>
      <w:bookmarkEnd w:id="8"/>
    </w:p>
    <w:p w:rsidRPr="00277AFE" w:rsidR="00CE70D4" w:rsidP="00CE70D4" w:rsidRDefault="00CE70D4" w14:paraId="06F10F49" w14:textId="77777777">
      <w:pPr>
        <w:autoSpaceDE w:val="0"/>
        <w:adjustRightInd w:val="0"/>
        <w:spacing w:line="240" w:lineRule="auto"/>
        <w:rPr>
          <w:rFonts w:eastAsia="DejaVuSerifCondensed" w:cs="DejaVuSerifCondensed"/>
          <w:b/>
          <w:bCs/>
        </w:rPr>
      </w:pPr>
      <w:r w:rsidRPr="00277AFE">
        <w:rPr>
          <w:rFonts w:eastAsia="DejaVuSerifCondensed" w:cs="DejaVuSerifCondensed"/>
        </w:rPr>
        <w:br/>
      </w:r>
      <w:r w:rsidRPr="00277AFE">
        <w:rPr>
          <w:rFonts w:eastAsia="DejaVuSerifCondensed" w:cs="DejaVuSerifCondensed"/>
          <w:b/>
          <w:bCs/>
        </w:rPr>
        <w:t xml:space="preserve">Vraag 10 </w:t>
      </w:r>
    </w:p>
    <w:p w:rsidRPr="00277AFE" w:rsidR="00CE70D4" w:rsidP="00CE70D4" w:rsidRDefault="00CE70D4" w14:paraId="68E41964"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Welke mogelijkheden zijn er momenteel voor hulp aan gedetineerden bij schulden richting uitstroom uit detentie en in hoeverre is er daarbij sprake van warme overdracht naar hulp bij schulden na detentie?</w:t>
      </w:r>
    </w:p>
    <w:p w:rsidRPr="00277AFE" w:rsidR="00CE70D4" w:rsidP="00CE70D4" w:rsidRDefault="00CE70D4" w14:paraId="11AF022C" w14:textId="77777777">
      <w:pPr>
        <w:autoSpaceDE w:val="0"/>
        <w:adjustRightInd w:val="0"/>
        <w:spacing w:line="240" w:lineRule="auto"/>
        <w:rPr>
          <w:rFonts w:eastAsia="DejaVuSerifCondensed" w:cs="DejaVuSerifCondensed"/>
          <w:b/>
          <w:bCs/>
        </w:rPr>
      </w:pPr>
    </w:p>
    <w:p w:rsidRPr="00277AFE" w:rsidR="00CE70D4" w:rsidP="00CE70D4" w:rsidRDefault="00CE70D4" w14:paraId="01F31A98"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10</w:t>
      </w:r>
    </w:p>
    <w:p w:rsidRPr="00277AFE" w:rsidR="00CE70D4" w:rsidP="00CE70D4" w:rsidRDefault="00CE70D4" w14:paraId="664FED11" w14:textId="77777777">
      <w:pPr>
        <w:autoSpaceDE w:val="0"/>
        <w:adjustRightInd w:val="0"/>
        <w:spacing w:line="240" w:lineRule="auto"/>
        <w:rPr>
          <w:rFonts w:eastAsia="DejaVuSerifCondensed" w:cs="DejaVuSerifCondensed"/>
        </w:rPr>
      </w:pPr>
      <w:r w:rsidRPr="00277AFE">
        <w:rPr>
          <w:rFonts w:eastAsia="DejaVuSerifCondensed" w:cs="DejaVuSerifCondensed"/>
        </w:rPr>
        <w:t>Zoals eerder aangegeven zijn gemeenten al tijdens detentie verantwoordelijk voor het bieden van schuldhulpverlening aan hun inwoners die in detentie verblijven. Dit op grond van de Wet gemeentelijke schuldhulpverlening. Indien een gedetineerde uitstroomt naar een andere gemeente dan de gemeente van herkomst, dan verschuift deze verantwoordelijkheid naar de gemeente van uitstroom en is deze gemeente aan zet om schuldhulpverlening vorm te geven voor de ex-gedetineerde. Gemeenten kennen beleidsvrijheid wanneer het gaat om de inrichting van deze ondersteuning.</w:t>
      </w:r>
    </w:p>
    <w:p w:rsidRPr="00277AFE" w:rsidR="00CE70D4" w:rsidP="00CE70D4" w:rsidRDefault="00CE70D4" w14:paraId="234699B2" w14:textId="77777777">
      <w:pPr>
        <w:autoSpaceDE w:val="0"/>
        <w:adjustRightInd w:val="0"/>
        <w:spacing w:line="240" w:lineRule="auto"/>
        <w:rPr>
          <w:rFonts w:eastAsia="DejaVuSerifCondensed" w:cs="DejaVuSerifCondensed"/>
          <w:b/>
          <w:bCs/>
        </w:rPr>
      </w:pPr>
    </w:p>
    <w:p w:rsidRPr="00277AFE" w:rsidR="00CE70D4" w:rsidP="00CE70D4" w:rsidRDefault="00CE70D4" w14:paraId="6682F716"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Vraag 11</w:t>
      </w:r>
    </w:p>
    <w:p w:rsidRPr="00277AFE" w:rsidR="00CE70D4" w:rsidP="00CE70D4" w:rsidRDefault="00CE70D4" w14:paraId="494DF463"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Kunt u deze vragen beantwoorden voor de behandeling van de begroting voor 2025 van het ministerie van Sociale Zaken en Werkgelegenheid?</w:t>
      </w:r>
    </w:p>
    <w:p w:rsidRPr="00277AFE" w:rsidR="00CE70D4" w:rsidP="00CE70D4" w:rsidRDefault="00CE70D4" w14:paraId="4EA55B4C" w14:textId="77777777">
      <w:pPr>
        <w:autoSpaceDE w:val="0"/>
        <w:adjustRightInd w:val="0"/>
        <w:spacing w:line="240" w:lineRule="auto"/>
        <w:rPr>
          <w:rFonts w:eastAsia="DejaVuSerifCondensed" w:cs="DejaVuSerifCondensed"/>
          <w:b/>
          <w:bCs/>
        </w:rPr>
      </w:pPr>
    </w:p>
    <w:p w:rsidRPr="00277AFE" w:rsidR="00CE70D4" w:rsidP="00CE70D4" w:rsidRDefault="00CE70D4" w14:paraId="38AC4A93" w14:textId="77777777">
      <w:pPr>
        <w:autoSpaceDE w:val="0"/>
        <w:adjustRightInd w:val="0"/>
        <w:spacing w:line="240" w:lineRule="auto"/>
        <w:rPr>
          <w:rFonts w:eastAsia="DejaVuSerifCondensed" w:cs="DejaVuSerifCondensed"/>
          <w:b/>
          <w:bCs/>
        </w:rPr>
      </w:pPr>
      <w:r w:rsidRPr="00277AFE">
        <w:rPr>
          <w:rFonts w:eastAsia="DejaVuSerifCondensed" w:cs="DejaVuSerifCondensed"/>
          <w:b/>
          <w:bCs/>
        </w:rPr>
        <w:t>Antwoord vraag 11</w:t>
      </w:r>
    </w:p>
    <w:p w:rsidRPr="00277AFE" w:rsidR="00CE70D4" w:rsidP="00CE70D4" w:rsidRDefault="00CE70D4" w14:paraId="44B5CCAF" w14:textId="77777777">
      <w:pPr>
        <w:autoSpaceDE w:val="0"/>
        <w:adjustRightInd w:val="0"/>
        <w:spacing w:line="240" w:lineRule="auto"/>
        <w:rPr>
          <w:rFonts w:eastAsia="DejaVuSerifCondensed" w:cs="DejaVuSerifCondensed"/>
        </w:rPr>
      </w:pPr>
      <w:r w:rsidRPr="00277AFE">
        <w:rPr>
          <w:rFonts w:eastAsia="DejaVuSerifCondensed" w:cs="DejaVuSerifCondensed"/>
        </w:rPr>
        <w:t xml:space="preserve">Aan uw Kamer is een uitstelbericht verzonden. Aangezien de beantwoording van de vragen zorgvuldige stemming vraagt tussen verschillende ministeries is het niet mogelijk gebleken om deze voor de begrotingsbehandeling te verzenden. </w:t>
      </w:r>
    </w:p>
    <w:p w:rsidRPr="00277AFE" w:rsidR="00CE70D4" w:rsidP="00CE70D4" w:rsidRDefault="00CE70D4" w14:paraId="0D7A22E7" w14:textId="77777777">
      <w:pPr>
        <w:autoSpaceDE w:val="0"/>
        <w:adjustRightInd w:val="0"/>
        <w:spacing w:line="240" w:lineRule="auto"/>
        <w:rPr>
          <w:rFonts w:eastAsia="DejaVuSerifCondensed" w:cs="DejaVuSerifCondensed"/>
        </w:rPr>
      </w:pPr>
    </w:p>
    <w:p w:rsidRPr="00277AFE" w:rsidR="00CE70D4" w:rsidP="00CE70D4" w:rsidRDefault="00CE70D4" w14:paraId="2199BCC7" w14:textId="77777777">
      <w:pPr>
        <w:autoSpaceDE w:val="0"/>
        <w:adjustRightInd w:val="0"/>
        <w:spacing w:line="240" w:lineRule="auto"/>
        <w:rPr>
          <w:rFonts w:eastAsia="DejaVuSerifCondensed" w:cs="DejaVuSerifCondensed"/>
        </w:rPr>
      </w:pPr>
      <w:r w:rsidRPr="00277AFE">
        <w:rPr>
          <w:rFonts w:eastAsia="DejaVuSerifCondensed" w:cs="DejaVuSerifCondensed"/>
        </w:rPr>
        <w:t>1) Universiteit Leiden, 20 juni 2024, ‘Re-integratie (ex-)gedetineerde personen komt niet goed van de grond’,</w:t>
      </w:r>
    </w:p>
    <w:p w:rsidRPr="00277AFE" w:rsidR="00CE70D4" w:rsidP="00CE70D4" w:rsidRDefault="00CE70D4" w14:paraId="21EBF55D" w14:textId="77777777">
      <w:pPr>
        <w:autoSpaceDE w:val="0"/>
        <w:adjustRightInd w:val="0"/>
        <w:spacing w:line="240" w:lineRule="auto"/>
        <w:rPr>
          <w:rFonts w:eastAsia="DejaVuSerifCondensed" w:cs="DejaVuSerifCondensed"/>
          <w:color w:val="0000FF"/>
        </w:rPr>
      </w:pPr>
      <w:r w:rsidRPr="00277AFE">
        <w:rPr>
          <w:rFonts w:eastAsia="DejaVuSerifCondensed" w:cs="DejaVuSerifCondensed"/>
        </w:rPr>
        <w:t>(</w:t>
      </w:r>
      <w:r w:rsidRPr="00277AFE">
        <w:rPr>
          <w:rFonts w:eastAsia="DejaVuSerifCondensed" w:cs="DejaVuSerifCondensed"/>
          <w:color w:val="0000FF"/>
        </w:rPr>
        <w:t>https://www.universiteitleiden.nl/nieuws/2024/06/re-integratie-ex-gedetineerde-personen-komt-niet-goed-vande-</w:t>
      </w:r>
    </w:p>
    <w:p w:rsidRPr="00277AFE" w:rsidR="00CE70D4" w:rsidP="00CE70D4" w:rsidRDefault="00CE70D4" w14:paraId="7430A6CE" w14:textId="77777777">
      <w:pPr>
        <w:autoSpaceDE w:val="0"/>
        <w:adjustRightInd w:val="0"/>
        <w:spacing w:line="240" w:lineRule="auto"/>
        <w:rPr>
          <w:rFonts w:eastAsia="DejaVuSerifCondensed" w:cs="DejaVuSerifCondensed"/>
        </w:rPr>
      </w:pPr>
      <w:r w:rsidRPr="00277AFE">
        <w:rPr>
          <w:rFonts w:eastAsia="DejaVuSerifCondensed" w:cs="DejaVuSerifCondensed"/>
          <w:color w:val="0000FF"/>
        </w:rPr>
        <w:t>grond</w:t>
      </w:r>
      <w:r w:rsidRPr="00277AFE">
        <w:rPr>
          <w:rFonts w:eastAsia="DejaVuSerifCondensed" w:cs="DejaVuSerifCondensed"/>
        </w:rPr>
        <w:t>).</w:t>
      </w:r>
    </w:p>
    <w:p w:rsidRPr="00277AFE" w:rsidR="00CE70D4" w:rsidP="00CE70D4" w:rsidRDefault="00CE70D4" w14:paraId="097C2B9E" w14:textId="77777777">
      <w:pPr>
        <w:autoSpaceDE w:val="0"/>
        <w:adjustRightInd w:val="0"/>
        <w:spacing w:line="240" w:lineRule="auto"/>
        <w:rPr>
          <w:rFonts w:eastAsia="DejaVuSerifCondensed" w:cs="DejaVuSerifCondensed"/>
        </w:rPr>
      </w:pPr>
      <w:r w:rsidRPr="00277AFE">
        <w:rPr>
          <w:rFonts w:eastAsia="DejaVuSerifCondensed" w:cs="DejaVuSerifCondensed"/>
        </w:rPr>
        <w:t>2) DJI, geraadpleegd 25 oktober 2024, 'Basisvoorwaarden re-integratie',</w:t>
      </w:r>
    </w:p>
    <w:p w:rsidRPr="00902904" w:rsidR="00CE70D4" w:rsidP="00CE70D4" w:rsidRDefault="00CE70D4" w14:paraId="7BA20CC2" w14:textId="77777777">
      <w:r w:rsidRPr="00277AFE">
        <w:rPr>
          <w:rFonts w:eastAsia="DejaVuSerifCondensed" w:cs="DejaVuSerifCondensed"/>
        </w:rPr>
        <w:t>(</w:t>
      </w:r>
      <w:r w:rsidRPr="00277AFE">
        <w:rPr>
          <w:rFonts w:eastAsia="DejaVuSerifCondensed" w:cs="DejaVuSerifCondensed"/>
          <w:color w:val="0000FF"/>
        </w:rPr>
        <w:t>https://www.dji.nl/justitiabelen/volwassenen/reintegratie/basisvoorwaarden-re-integratie</w:t>
      </w:r>
      <w:r w:rsidRPr="00277AFE">
        <w:rPr>
          <w:rFonts w:eastAsia="DejaVuSerifCondensed" w:cs="DejaVuSerifCondensed"/>
        </w:rPr>
        <w:t>).</w:t>
      </w:r>
    </w:p>
    <w:p w:rsidR="00CE70D4" w:rsidP="00CE70D4" w:rsidRDefault="00CE70D4" w14:paraId="12D06FCE" w14:textId="77777777"/>
    <w:p w:rsidR="00CE70D4" w:rsidP="00CE70D4" w:rsidRDefault="00CE70D4" w14:paraId="615DF917" w14:textId="77777777"/>
    <w:p w:rsidRPr="001E2DE7" w:rsidR="00CE70D4" w:rsidP="00CE70D4" w:rsidRDefault="00CE70D4" w14:paraId="6D29DD97" w14:textId="77777777"/>
    <w:p w:rsidR="00810710" w:rsidRDefault="00810710" w14:paraId="7A26DBD1" w14:textId="77777777"/>
    <w:sectPr w:rsidR="00810710" w:rsidSect="00CE70D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17BDD" w14:textId="77777777" w:rsidR="00CE70D4" w:rsidRDefault="00CE70D4" w:rsidP="00CE70D4">
      <w:pPr>
        <w:spacing w:after="0" w:line="240" w:lineRule="auto"/>
      </w:pPr>
      <w:r>
        <w:separator/>
      </w:r>
    </w:p>
  </w:endnote>
  <w:endnote w:type="continuationSeparator" w:id="0">
    <w:p w14:paraId="1E1B90F3" w14:textId="77777777" w:rsidR="00CE70D4" w:rsidRDefault="00CE70D4" w:rsidP="00CE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DE1F" w14:textId="77777777" w:rsidR="00CE70D4" w:rsidRPr="00CE70D4" w:rsidRDefault="00CE70D4" w:rsidP="00CE70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9CAC8" w14:textId="77777777" w:rsidR="00CE70D4" w:rsidRPr="00CE70D4" w:rsidRDefault="00CE70D4" w:rsidP="00CE70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7225" w14:textId="77777777" w:rsidR="00CE70D4" w:rsidRPr="00CE70D4" w:rsidRDefault="00CE70D4" w:rsidP="00CE70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6E959" w14:textId="77777777" w:rsidR="00CE70D4" w:rsidRDefault="00CE70D4" w:rsidP="00CE70D4">
      <w:pPr>
        <w:spacing w:after="0" w:line="240" w:lineRule="auto"/>
      </w:pPr>
      <w:r>
        <w:separator/>
      </w:r>
    </w:p>
  </w:footnote>
  <w:footnote w:type="continuationSeparator" w:id="0">
    <w:p w14:paraId="18B759D9" w14:textId="77777777" w:rsidR="00CE70D4" w:rsidRDefault="00CE70D4" w:rsidP="00CE70D4">
      <w:pPr>
        <w:spacing w:after="0" w:line="240" w:lineRule="auto"/>
      </w:pPr>
      <w:r>
        <w:continuationSeparator/>
      </w:r>
    </w:p>
  </w:footnote>
  <w:footnote w:id="1">
    <w:p w14:paraId="22801E5E" w14:textId="77777777" w:rsidR="00CE70D4" w:rsidRDefault="00CE70D4" w:rsidP="00CE70D4">
      <w:pPr>
        <w:pStyle w:val="Voetnoottekst"/>
      </w:pPr>
      <w:r>
        <w:rPr>
          <w:rStyle w:val="Voetnootmarkering"/>
        </w:rPr>
        <w:footnoteRef/>
      </w:r>
      <w:r>
        <w:t xml:space="preserve"> Tweede Kamer, vergaderjaar 2023–2024, 29 279, nr. 865 </w:t>
      </w:r>
    </w:p>
  </w:footnote>
  <w:footnote w:id="2">
    <w:p w14:paraId="2819B073" w14:textId="77777777" w:rsidR="00CE70D4" w:rsidRDefault="00CE70D4" w:rsidP="00CE70D4">
      <w:pPr>
        <w:pStyle w:val="Voetnoottekst"/>
      </w:pPr>
      <w:r>
        <w:rPr>
          <w:rStyle w:val="Voetnootmarkering"/>
        </w:rPr>
        <w:footnoteRef/>
      </w:r>
      <w:r>
        <w:t xml:space="preserve"> Tweede Kamer, vergaderjaar 2022–2023, 24 515, nr. 703</w:t>
      </w:r>
    </w:p>
  </w:footnote>
  <w:footnote w:id="3">
    <w:p w14:paraId="7C92FD5F" w14:textId="77777777" w:rsidR="00CE70D4" w:rsidRDefault="00CE70D4" w:rsidP="00CE70D4">
      <w:pPr>
        <w:pStyle w:val="Voetnoottekst"/>
      </w:pPr>
      <w:r>
        <w:rPr>
          <w:rStyle w:val="Voetnootmarkering"/>
        </w:rPr>
        <w:footnoteRef/>
      </w:r>
      <w:r>
        <w:t xml:space="preserve"> Tweede Kamer, vergaderjaar 2023-2024, 24515, nr. 765</w:t>
      </w:r>
    </w:p>
  </w:footnote>
  <w:footnote w:id="4">
    <w:p w14:paraId="2E0F1E4C" w14:textId="77777777" w:rsidR="00CE70D4" w:rsidRDefault="00CE70D4" w:rsidP="00CE70D4">
      <w:pPr>
        <w:pStyle w:val="Voetnoottekst"/>
      </w:pPr>
      <w:r>
        <w:rPr>
          <w:rStyle w:val="Voetnootmarkering"/>
        </w:rPr>
        <w:footnoteRef/>
      </w:r>
      <w:r>
        <w:t xml:space="preserve"> Tweede Kamer, vergaderjaar 2023–2024, 29 279, nr. 865 </w:t>
      </w:r>
    </w:p>
  </w:footnote>
  <w:footnote w:id="5">
    <w:p w14:paraId="150A1BF5" w14:textId="77777777" w:rsidR="00CE70D4" w:rsidRDefault="00CE70D4" w:rsidP="00CE70D4">
      <w:pPr>
        <w:pStyle w:val="Voetnoottekst"/>
      </w:pPr>
      <w:r>
        <w:rPr>
          <w:rStyle w:val="Voetnootmarkering"/>
        </w:rPr>
        <w:footnoteRef/>
      </w:r>
      <w:r>
        <w:t xml:space="preserve"> </w:t>
      </w:r>
      <w:r w:rsidRPr="00897F5F">
        <w:t>WODC (20</w:t>
      </w:r>
      <w:r>
        <w:t>24</w:t>
      </w:r>
      <w:r w:rsidRPr="00897F5F">
        <w:t xml:space="preserve">). Monitor nazorg (ex-)gedetineerden – meting </w:t>
      </w:r>
      <w:r>
        <w:t>7</w:t>
      </w:r>
    </w:p>
  </w:footnote>
  <w:footnote w:id="6">
    <w:p w14:paraId="3FDF5162" w14:textId="77777777" w:rsidR="00CE70D4" w:rsidRPr="00FF3908" w:rsidRDefault="00CE70D4" w:rsidP="00CE70D4">
      <w:pPr>
        <w:pStyle w:val="Voetnoottekst"/>
        <w:rPr>
          <w:lang w:val="en-US"/>
        </w:rPr>
      </w:pPr>
      <w:r>
        <w:rPr>
          <w:rStyle w:val="Voetnootmarkering"/>
        </w:rPr>
        <w:footnoteRef/>
      </w:r>
      <w:r w:rsidRPr="00FF3908">
        <w:rPr>
          <w:lang w:val="en-US"/>
        </w:rPr>
        <w:t xml:space="preserve"> </w:t>
      </w:r>
      <w:bookmarkStart w:id="6" w:name="_Hlk183591461"/>
      <w:r w:rsidRPr="00AA3030">
        <w:rPr>
          <w:lang w:val="en-US"/>
        </w:rPr>
        <w:t>Participatiewet Art. 13 lid 1 sub a.</w:t>
      </w:r>
      <w:bookmarkEnd w:id="6"/>
    </w:p>
  </w:footnote>
  <w:footnote w:id="7">
    <w:p w14:paraId="7541EC19" w14:textId="77777777" w:rsidR="00CE70D4" w:rsidRDefault="00CE70D4" w:rsidP="00CE70D4">
      <w:pPr>
        <w:pStyle w:val="Voetnoottekst"/>
      </w:pPr>
      <w:r>
        <w:rPr>
          <w:rStyle w:val="Voetnootmarkering"/>
        </w:rPr>
        <w:footnoteRef/>
      </w:r>
      <w:r>
        <w:t xml:space="preserve"> </w:t>
      </w:r>
      <w:hyperlink r:id="rId1" w:history="1">
        <w:r>
          <w:rPr>
            <w:rStyle w:val="Hyperlink"/>
          </w:rPr>
          <w:t>Schuldenzorgenvrij uit detentie | Schuldenlab070</w:t>
        </w:r>
      </w:hyperlink>
    </w:p>
  </w:footnote>
  <w:footnote w:id="8">
    <w:p w14:paraId="7D0B7091" w14:textId="77777777" w:rsidR="00CE70D4" w:rsidRDefault="00CE70D4" w:rsidP="00CE70D4">
      <w:r>
        <w:rPr>
          <w:rStyle w:val="Voetnootmarkering"/>
        </w:rPr>
        <w:footnoteRef/>
      </w:r>
      <w:r>
        <w:t xml:space="preserve"> Tweede Kamer, vergaderjaar 2023-2024, 24515, nr. 765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9603" w14:textId="77777777" w:rsidR="00CE70D4" w:rsidRPr="00CE70D4" w:rsidRDefault="00CE70D4" w:rsidP="00CE70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F0997" w14:textId="77777777" w:rsidR="00CE70D4" w:rsidRPr="00CE70D4" w:rsidRDefault="00CE70D4" w:rsidP="00CE70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44EC5" w14:textId="77777777" w:rsidR="00CE70D4" w:rsidRPr="00CE70D4" w:rsidRDefault="00CE70D4" w:rsidP="00CE70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D4"/>
    <w:rsid w:val="00495FE3"/>
    <w:rsid w:val="00810710"/>
    <w:rsid w:val="00CE70D4"/>
    <w:rsid w:val="00E77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6493"/>
  <w15:chartTrackingRefBased/>
  <w15:docId w15:val="{5791E9EE-AF81-4ABC-80E4-2A6B7E8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0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0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0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0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0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0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0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0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0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0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0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0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0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0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0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0D4"/>
    <w:rPr>
      <w:rFonts w:eastAsiaTheme="majorEastAsia" w:cstheme="majorBidi"/>
      <w:color w:val="272727" w:themeColor="text1" w:themeTint="D8"/>
    </w:rPr>
  </w:style>
  <w:style w:type="paragraph" w:styleId="Titel">
    <w:name w:val="Title"/>
    <w:basedOn w:val="Standaard"/>
    <w:next w:val="Standaard"/>
    <w:link w:val="TitelChar"/>
    <w:uiPriority w:val="10"/>
    <w:qFormat/>
    <w:rsid w:val="00CE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0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0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0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0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0D4"/>
    <w:rPr>
      <w:i/>
      <w:iCs/>
      <w:color w:val="404040" w:themeColor="text1" w:themeTint="BF"/>
    </w:rPr>
  </w:style>
  <w:style w:type="paragraph" w:styleId="Lijstalinea">
    <w:name w:val="List Paragraph"/>
    <w:basedOn w:val="Standaard"/>
    <w:uiPriority w:val="34"/>
    <w:qFormat/>
    <w:rsid w:val="00CE70D4"/>
    <w:pPr>
      <w:ind w:left="720"/>
      <w:contextualSpacing/>
    </w:pPr>
  </w:style>
  <w:style w:type="character" w:styleId="Intensievebenadrukking">
    <w:name w:val="Intense Emphasis"/>
    <w:basedOn w:val="Standaardalinea-lettertype"/>
    <w:uiPriority w:val="21"/>
    <w:qFormat/>
    <w:rsid w:val="00CE70D4"/>
    <w:rPr>
      <w:i/>
      <w:iCs/>
      <w:color w:val="0F4761" w:themeColor="accent1" w:themeShade="BF"/>
    </w:rPr>
  </w:style>
  <w:style w:type="paragraph" w:styleId="Duidelijkcitaat">
    <w:name w:val="Intense Quote"/>
    <w:basedOn w:val="Standaard"/>
    <w:next w:val="Standaard"/>
    <w:link w:val="DuidelijkcitaatChar"/>
    <w:uiPriority w:val="30"/>
    <w:qFormat/>
    <w:rsid w:val="00CE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0D4"/>
    <w:rPr>
      <w:i/>
      <w:iCs/>
      <w:color w:val="0F4761" w:themeColor="accent1" w:themeShade="BF"/>
    </w:rPr>
  </w:style>
  <w:style w:type="character" w:styleId="Intensieveverwijzing">
    <w:name w:val="Intense Reference"/>
    <w:basedOn w:val="Standaardalinea-lettertype"/>
    <w:uiPriority w:val="32"/>
    <w:qFormat/>
    <w:rsid w:val="00CE70D4"/>
    <w:rPr>
      <w:b/>
      <w:bCs/>
      <w:smallCaps/>
      <w:color w:val="0F4761" w:themeColor="accent1" w:themeShade="BF"/>
      <w:spacing w:val="5"/>
    </w:rPr>
  </w:style>
  <w:style w:type="character" w:styleId="Hyperlink">
    <w:name w:val="Hyperlink"/>
    <w:basedOn w:val="Standaardalinea-lettertype"/>
    <w:uiPriority w:val="99"/>
    <w:unhideWhenUsed/>
    <w:rsid w:val="00CE70D4"/>
    <w:rPr>
      <w:color w:val="467886" w:themeColor="hyperlink"/>
      <w:u w:val="single"/>
    </w:rPr>
  </w:style>
  <w:style w:type="paragraph" w:customStyle="1" w:styleId="Afzendgegevens">
    <w:name w:val="Afzendgegevens"/>
    <w:basedOn w:val="Standaard"/>
    <w:next w:val="Standaard"/>
    <w:rsid w:val="00CE70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CE70D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E70D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CE70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CE70D4"/>
    <w:rPr>
      <w:caps/>
    </w:rPr>
  </w:style>
  <w:style w:type="paragraph" w:customStyle="1" w:styleId="Referentiegegevenskopjes">
    <w:name w:val="Referentiegegevenskopjes"/>
    <w:basedOn w:val="Standaard"/>
    <w:next w:val="Standaard"/>
    <w:rsid w:val="00CE70D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CE70D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E70D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E70D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E70D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E70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70D4"/>
    <w:rPr>
      <w:sz w:val="20"/>
      <w:szCs w:val="20"/>
    </w:rPr>
  </w:style>
  <w:style w:type="character" w:styleId="Voetnootmarkering">
    <w:name w:val="footnote reference"/>
    <w:basedOn w:val="Standaardalinea-lettertype"/>
    <w:uiPriority w:val="99"/>
    <w:semiHidden/>
    <w:unhideWhenUsed/>
    <w:rsid w:val="00CE7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huldenlab070.nl/schuldenzorgenvrij-uit-dete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1962</ap:Words>
  <ap:Characters>10796</ap:Characters>
  <ap:DocSecurity>0</ap:DocSecurity>
  <ap:Lines>89</ap:Lines>
  <ap:Paragraphs>25</ap:Paragraphs>
  <ap:ScaleCrop>false</ap:ScaleCrop>
  <ap:LinksUpToDate>false</ap:LinksUpToDate>
  <ap:CharactersWithSpaces>12733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2024-12-17T09:05:00.0000000Z</dcterms:created>
  <dcterms:modified xsi:type="dcterms:W3CDTF">2024-12-17T09:06:00.0000000Z</dcterms:modified>
  <version/>
  <category/>
</coreProperties>
</file>